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spacing w:lineRule="auto" w:line="360"/>
        <w:rPr>
          <w:lang w:val="it-IT"/>
        </w:rPr>
      </w:pPr>
      <w:r>
        <w:rPr>
          <w:b/>
          <w:lang w:val="it-IT"/>
        </w:rPr>
        <w:t>Presentazione della scheda di sintesi relativa al progetto:</w:t>
      </w:r>
    </w:p>
    <w:p>
      <w:pPr>
        <w:pStyle w:val="Normal"/>
        <w:widowControl w:val="false"/>
        <w:shd w:val="clear" w:color="auto" w:fill="FFFFFF"/>
        <w:spacing w:lineRule="auto" w:line="360"/>
        <w:rPr>
          <w:lang w:val="it-IT"/>
        </w:rPr>
      </w:pPr>
      <w:r>
        <w:rPr>
          <w:lang w:val="it-IT"/>
        </w:rPr>
        <w:t>La Foresta: far crescere insieme un’Accademia di comunità</w:t>
      </w:r>
    </w:p>
    <w:p>
      <w:pPr>
        <w:pStyle w:val="Normal"/>
        <w:widowControl w:val="false"/>
        <w:shd w:val="clear" w:color="auto" w:fill="FFFFFF"/>
        <w:spacing w:lineRule="auto" w:line="360"/>
        <w:rPr>
          <w:lang w:val="it-IT"/>
        </w:rPr>
      </w:pPr>
      <w:r>
        <w:rPr>
          <w:b/>
          <w:lang w:val="it-IT"/>
        </w:rPr>
        <w:t>presentato dalla organizzazione di servizio civile:</w:t>
      </w:r>
    </w:p>
    <w:p>
      <w:pPr>
        <w:pStyle w:val="Normal"/>
        <w:widowControl w:val="false"/>
        <w:shd w:val="clear" w:color="auto" w:fill="FFFFFF"/>
        <w:spacing w:lineRule="auto" w:line="360"/>
        <w:rPr>
          <w:lang w:val="it-IT"/>
        </w:rPr>
      </w:pPr>
      <w:r>
        <w:rPr>
          <w:lang w:val="it-IT"/>
        </w:rPr>
        <w:t>Comune di Rovereto</w:t>
      </w:r>
    </w:p>
    <w:p>
      <w:pPr>
        <w:pStyle w:val="Normal"/>
        <w:widowControl w:val="false"/>
        <w:shd w:val="clear" w:color="auto" w:fill="FFFFFF"/>
        <w:spacing w:lineRule="auto" w:line="360"/>
        <w:rPr>
          <w:lang w:val="it-IT"/>
        </w:rPr>
      </w:pPr>
      <w:bookmarkStart w:id="0" w:name="_GoBack"/>
      <w:bookmarkEnd w:id="0"/>
      <w:r>
        <w:rPr>
          <w:lang w:val="it-IT"/>
        </w:rPr>
        <w:t>in data</w:t>
      </w:r>
    </w:p>
    <w:p>
      <w:pPr>
        <w:pStyle w:val="Normal"/>
        <w:widowControl w:val="false"/>
        <w:shd w:val="clear" w:color="auto" w:fill="FFFFFF"/>
        <w:spacing w:lineRule="auto" w:line="360"/>
        <w:rPr>
          <w:lang w:val="it-IT"/>
        </w:rPr>
      </w:pPr>
      <w:r>
        <w:rPr>
          <w:lang w:val="it-IT"/>
        </w:rPr>
        <w:t>02.02.2020</w:t>
      </w:r>
    </w:p>
    <w:p>
      <w:pPr>
        <w:pStyle w:val="Normal"/>
        <w:widowControl w:val="false"/>
        <w:shd w:val="clear" w:color="auto" w:fill="FFFFFF"/>
        <w:spacing w:lineRule="auto" w:line="36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shd w:val="clear" w:color="auto" w:fill="FFFFFF"/>
        <w:spacing w:lineRule="auto" w:line="360"/>
        <w:rPr>
          <w:sz w:val="22"/>
          <w:szCs w:val="22"/>
          <w:lang w:val="it-IT"/>
        </w:rPr>
      </w:pPr>
      <w:r>
        <w:rPr>
          <w:lang w:val="it-IT"/>
        </w:rPr>
        <w:t>La presente</w:t>
      </w:r>
      <w:r>
        <w:rPr>
          <w:b/>
          <w:lang w:val="it-IT"/>
        </w:rPr>
        <w:t xml:space="preserve"> </w:t>
      </w:r>
      <w:r>
        <w:rPr>
          <w:sz w:val="22"/>
          <w:szCs w:val="22"/>
          <w:lang w:val="it-IT"/>
        </w:rPr>
        <w:t>SCHEDA DI SINTESI riflette fedelmente quanto contenuto nel documento progettuale integrale.</w:t>
      </w:r>
    </w:p>
    <w:p>
      <w:pPr>
        <w:pStyle w:val="Normal"/>
        <w:widowControl w:val="false"/>
        <w:shd w:val="clear" w:color="auto" w:fill="FFFFFF"/>
        <w:spacing w:lineRule="auto" w:line="36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widowControl w:val="false"/>
        <w:shd w:val="clear" w:color="auto" w:fill="FFFFFF"/>
        <w:spacing w:lineRule="auto" w:line="36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L’avvio del progetto è richiesto per il (</w:t>
      </w:r>
      <w:r>
        <w:rPr>
          <w:i/>
          <w:sz w:val="22"/>
          <w:szCs w:val="22"/>
          <w:lang w:val="it-IT"/>
        </w:rPr>
        <w:t>vedi calendario della progettazione</w:t>
      </w:r>
      <w:r>
        <w:rPr>
          <w:sz w:val="22"/>
          <w:szCs w:val="22"/>
          <w:lang w:val="it-IT"/>
        </w:rPr>
        <w:t>):</w:t>
      </w:r>
      <w:r>
        <w:rPr>
          <w:b/>
          <w:sz w:val="22"/>
          <w:szCs w:val="22"/>
          <w:lang w:val="it-IT"/>
        </w:rPr>
        <w:t xml:space="preserve"> 1 giugno 2020</w:t>
      </w:r>
      <w:r>
        <w:rPr>
          <w:sz w:val="22"/>
          <w:szCs w:val="22"/>
          <w:lang w:val="it-IT"/>
        </w:rPr>
        <w:t xml:space="preserve"> e, in caso di impossibilità di avvio alla data prevista  </w:t>
      </w:r>
      <w:r>
        <w:rPr>
          <w:rFonts w:eastAsia="Wingdings" w:cs="Wingdings" w:ascii="Wingdings" w:hAnsi="Wingdings"/>
          <w:sz w:val="22"/>
          <w:szCs w:val="22"/>
          <w:lang w:val="it-IT"/>
        </w:rPr>
        <w:t></w:t>
      </w:r>
      <w:r>
        <w:rPr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>si prevede</w:t>
      </w:r>
      <w:r>
        <w:rPr>
          <w:sz w:val="22"/>
          <w:szCs w:val="22"/>
          <w:lang w:val="it-IT"/>
        </w:rPr>
        <w:t xml:space="preserve">  ◻ non si prevede lo slittamento e riproposizione per i due turni di avvio successivi.</w:t>
      </w:r>
    </w:p>
    <w:p>
      <w:pPr>
        <w:pStyle w:val="Normal"/>
        <w:widowControl w:val="false"/>
        <w:shd w:val="clear" w:color="auto" w:fill="FFFFFF"/>
        <w:spacing w:lineRule="auto" w:line="36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widowControl w:val="false"/>
        <w:shd w:val="clear" w:color="auto" w:fill="FFFFFF"/>
        <w:spacing w:lineRule="auto" w:line="36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 contatti di riferimento per la proposta progettuale e la scheda di sintesi sono i seguenti:</w:t>
      </w:r>
    </w:p>
    <w:tbl>
      <w:tblPr>
        <w:tblW w:w="9573" w:type="dxa"/>
        <w:jc w:val="left"/>
        <w:tblInd w:w="14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44"/>
        <w:gridCol w:w="7228"/>
      </w:tblGrid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Progettista</w:t>
            </w:r>
          </w:p>
        </w:tc>
        <w:tc>
          <w:tcPr>
            <w:tcW w:w="7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>Bianca Elzenbaumer, Fabio Franz, Irene Bonvicini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e tel. progettista</w:t>
            </w:r>
          </w:p>
        </w:tc>
        <w:tc>
          <w:tcPr>
            <w:tcW w:w="7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jc w:val="both"/>
              <w:rPr/>
            </w:pPr>
            <w:hyperlink r:id="rId2">
              <w:r>
                <w:rPr>
                  <w:rStyle w:val="ListLabel46"/>
                  <w:b/>
                  <w:color w:val="000000"/>
                  <w:sz w:val="20"/>
                  <w:szCs w:val="20"/>
                  <w:u w:val="single"/>
                </w:rPr>
                <w:t>biancaelzenbaumer@gmail.com</w:t>
              </w:r>
            </w:hyperlink>
            <w:r>
              <w:rPr>
                <w:b/>
                <w:color w:val="000000"/>
                <w:sz w:val="20"/>
                <w:szCs w:val="20"/>
              </w:rPr>
              <w:t xml:space="preserve"> 345 460 3450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Referente di progetto</w:t>
            </w:r>
          </w:p>
        </w:tc>
        <w:tc>
          <w:tcPr>
            <w:tcW w:w="7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Catia Simoncelli 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e tel. referente</w:t>
            </w:r>
          </w:p>
        </w:tc>
        <w:tc>
          <w:tcPr>
            <w:tcW w:w="7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jc w:val="both"/>
              <w:rPr/>
            </w:pPr>
            <w:hyperlink r:id="rId3">
              <w:r>
                <w:rPr>
                  <w:rStyle w:val="ListLabel46"/>
                  <w:b/>
                  <w:color w:val="000000"/>
                  <w:sz w:val="20"/>
                  <w:szCs w:val="20"/>
                  <w:u w:val="single"/>
                </w:rPr>
                <w:t>SimoncelliCatia@comune.rovereto.tn.it</w:t>
              </w:r>
            </w:hyperlink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0039 0464 452 221</w:t>
            </w:r>
          </w:p>
        </w:tc>
      </w:tr>
    </w:tbl>
    <w:p>
      <w:pPr>
        <w:pStyle w:val="Normal"/>
        <w:widowControl w:val="false"/>
        <w:shd w:val="clear" w:color="auto" w:fill="FFFFFF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hd w:val="clear" w:color="auto" w:fill="FFFFFF"/>
        <w:spacing w:lineRule="auto" w:line="36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Sia la SCHEDA DI SINTESI sia il DOCUMENTO PROGETTUALE vengono inviate via Pec/PiTre in formato editabile (Word, LibreOffice ecc).</w:t>
      </w:r>
    </w:p>
    <w:p>
      <w:pPr>
        <w:pStyle w:val="Normal"/>
        <w:widowControl w:val="false"/>
        <w:shd w:val="clear" w:color="auto" w:fill="FFFFFF"/>
        <w:tabs>
          <w:tab w:val="left" w:pos="2835" w:leader="none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widowControl w:val="false"/>
        <w:shd w:val="clear" w:color="auto" w:fill="FFFFFF"/>
        <w:tabs>
          <w:tab w:val="left" w:pos="2835" w:leader="none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widowControl w:val="false"/>
        <w:tabs>
          <w:tab w:val="left" w:pos="2835" w:leader="none"/>
        </w:tabs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tabs>
          <w:tab w:val="left" w:pos="2835" w:leader="none"/>
        </w:tabs>
        <w:spacing w:lineRule="auto" w:line="360"/>
        <w:rPr/>
      </w:pPr>
      <w:r>
        <w:rPr/>
        <w:t xml:space="preserve">N.B: 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2835" w:leader="none"/>
        </w:tabs>
        <w:spacing w:lineRule="auto" w:line="360"/>
        <w:ind w:left="360" w:hanging="360"/>
        <w:jc w:val="both"/>
        <w:rPr>
          <w:lang w:val="it-IT"/>
        </w:rPr>
      </w:pPr>
      <w:r>
        <w:rPr>
          <w:i/>
          <w:lang w:val="it-IT"/>
        </w:rPr>
        <w:t>La scheda di sintesi va compilata cancellando le indicazioni e inserendo al loro posto i contenuti necessari, il cui colore deve essere cambiato in NERO.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2835" w:leader="none"/>
        </w:tabs>
        <w:spacing w:lineRule="auto" w:line="360"/>
        <w:ind w:left="360" w:hanging="360"/>
        <w:jc w:val="both"/>
        <w:rPr>
          <w:lang w:val="it-IT"/>
        </w:rPr>
      </w:pPr>
      <w:r>
        <w:rPr>
          <w:i/>
          <w:lang w:val="it-IT"/>
        </w:rPr>
        <w:t xml:space="preserve">La lunghezza complessiva della scheda non deve superare le </w:t>
      </w:r>
      <w:r>
        <w:rPr>
          <w:i/>
          <w:u w:val="single"/>
          <w:lang w:val="it-IT"/>
        </w:rPr>
        <w:t>tre</w:t>
      </w:r>
      <w:r>
        <w:rPr>
          <w:i/>
          <w:lang w:val="it-IT"/>
        </w:rPr>
        <w:t xml:space="preserve"> facciate di formato A4.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2835" w:leader="none"/>
        </w:tabs>
        <w:spacing w:lineRule="auto" w:line="360"/>
        <w:ind w:left="360" w:hanging="360"/>
        <w:jc w:val="both"/>
        <w:rPr>
          <w:lang w:val="it-IT"/>
        </w:rPr>
      </w:pPr>
      <w:r>
        <w:rPr>
          <w:i/>
          <w:lang w:val="it-IT"/>
        </w:rPr>
        <w:t>Sarà pubblicato solo il testo delle pagine successive.</w:t>
      </w:r>
    </w:p>
    <w:p>
      <w:pPr>
        <w:pStyle w:val="Normal"/>
        <w:widowControl w:val="false"/>
        <w:tabs>
          <w:tab w:val="left" w:pos="2835" w:leader="none"/>
        </w:tabs>
        <w:spacing w:lineRule="auto" w:line="360"/>
        <w:rPr>
          <w:lang w:val="it-IT"/>
        </w:rPr>
      </w:pPr>
      <w:r>
        <w:rPr>
          <w:lang w:val="it-IT"/>
        </w:rPr>
      </w:r>
    </w:p>
    <w:p>
      <w:pPr>
        <w:pStyle w:val="Normal"/>
        <w:shd w:val="clear" w:color="auto" w:fill="FFFFFF"/>
        <w:rPr>
          <w:lang w:val="it-IT"/>
        </w:rPr>
      </w:pPr>
      <w:r>
        <w:rPr>
          <w:lang w:val="it-IT"/>
        </w:rPr>
      </w:r>
      <w:r>
        <w:br w:type="page"/>
      </w:r>
    </w:p>
    <w:tbl>
      <w:tblPr>
        <w:tblW w:w="9573" w:type="dxa"/>
        <w:jc w:val="left"/>
        <w:tblInd w:w="141" w:type="dxa"/>
        <w:tblBorders>
          <w:bottom w:val="single" w:sz="4" w:space="0" w:color="000001"/>
          <w:insideH w:val="single" w:sz="4" w:space="0" w:color="000001"/>
        </w:tblBorders>
        <w:tblCellMar>
          <w:top w:w="0" w:type="dxa"/>
          <w:left w:w="7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44"/>
        <w:gridCol w:w="2551"/>
        <w:gridCol w:w="79"/>
        <w:gridCol w:w="985"/>
        <w:gridCol w:w="1347"/>
        <w:gridCol w:w="2266"/>
      </w:tblGrid>
      <w:tr>
        <w:trPr>
          <w:trHeight w:val="2416" w:hRule="atLeast"/>
        </w:trPr>
        <w:tc>
          <w:tcPr>
            <w:tcW w:w="9572" w:type="dxa"/>
            <w:gridSpan w:val="6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pageBreakBefore/>
              <w:shd w:val="clear" w:color="auto" w:fill="FFFFFF"/>
              <w:jc w:val="center"/>
              <w:rPr>
                <w:rFonts w:ascii="Arial" w:hAnsi="Arial" w:eastAsia="Arial" w:cs="Arial"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954405" cy="1019175"/>
                  <wp:effectExtent l="0" t="0" r="0" b="0"/>
                  <wp:docPr id="1" name="image1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hd w:val="clear" w:color="auto" w:fill="FFFFFF"/>
              <w:spacing w:before="240" w:after="120"/>
              <w:jc w:val="center"/>
              <w:rPr>
                <w:color w:val="FF0000"/>
                <w:sz w:val="31"/>
                <w:szCs w:val="31"/>
                <w:lang w:val="it-IT"/>
              </w:rPr>
            </w:pPr>
            <w:r>
              <w:rPr>
                <w:b/>
                <w:color w:val="FF0000"/>
                <w:sz w:val="31"/>
                <w:szCs w:val="31"/>
                <w:lang w:val="it-IT"/>
              </w:rPr>
              <w:t>PROGETTO DI SERVIZIO CIVILE UNIVERSALE PROVINCIALE</w:t>
            </w:r>
          </w:p>
          <w:p>
            <w:pPr>
              <w:pStyle w:val="Normal"/>
              <w:shd w:val="clear" w:color="auto" w:fill="FFFFFF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redatto sulla base dei “Criteri di gestione del SCUP”</w:t>
            </w:r>
          </w:p>
          <w:p>
            <w:pPr>
              <w:pStyle w:val="Normal"/>
              <w:shd w:val="clear" w:color="auto" w:fill="FFFFFF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(deliberazione della Giunta provinciale n. 2117 del 20 dicembre 2019)</w:t>
            </w:r>
          </w:p>
          <w:p>
            <w:pPr>
              <w:pStyle w:val="Normal"/>
              <w:shd w:val="clear" w:color="auto" w:fill="FFFFFF"/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31"/>
                <w:szCs w:val="31"/>
              </w:rPr>
              <w:t>Scheda di sintesi 2020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6E6E6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Titolo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progetto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6E6E6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360"/>
              <w:rPr>
                <w:color w:val="000000"/>
                <w:lang w:val="it-IT"/>
              </w:rPr>
            </w:pPr>
            <w:r>
              <w:rPr>
                <w:lang w:val="it-IT"/>
              </w:rPr>
              <w:t>La Foresta: far crescere insieme un’Accademia di comunità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6E6E6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6E6E6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  <w:lang w:val="it-IT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  <w:lang w:val="it-IT"/>
              </w:rPr>
              <w:t>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SCUP_PAT</w:t>
            </w:r>
          </w:p>
          <w:p>
            <w:pPr>
              <w:pStyle w:val="Normal"/>
              <w:rPr>
                <w:sz w:val="22"/>
                <w:szCs w:val="22"/>
                <w:lang w:val="it-IT"/>
              </w:rPr>
            </w:pPr>
            <w:r>
              <w:rPr>
                <w:rFonts w:eastAsia="Arial Unicode MS" w:cs="Arial Unicode MS" w:ascii="Arial Unicode MS" w:hAnsi="Arial Unicode MS"/>
                <w:sz w:val="22"/>
                <w:szCs w:val="22"/>
                <w:lang w:val="it-IT"/>
              </w:rPr>
              <w:t xml:space="preserve">❑ </w:t>
            </w:r>
            <w:r>
              <w:rPr>
                <w:rFonts w:eastAsia="Arial Unicode MS" w:cs="Arial Unicode MS" w:ascii="Arial Unicode MS" w:hAnsi="Arial Unicode MS"/>
                <w:sz w:val="22"/>
                <w:szCs w:val="22"/>
                <w:lang w:val="it-IT"/>
              </w:rPr>
              <w:t xml:space="preserve">SCUP_GG </w:t>
            </w:r>
          </w:p>
        </w:tc>
        <w:tc>
          <w:tcPr>
            <w:tcW w:w="24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6E6E6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di presentazione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6E6E6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15.01.2020</w:t>
            </w:r>
          </w:p>
        </w:tc>
      </w:tr>
      <w:tr>
        <w:trPr>
          <w:trHeight w:val="411" w:hRule="atLeast"/>
        </w:trPr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6E6E6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Ambito tematico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6E6E6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  <w:lang w:val="it-IT"/>
              </w:rPr>
            </w:pPr>
            <w:r>
              <w:rPr>
                <w:rFonts w:eastAsia="Arial Unicode MS" w:cs="Arial Unicode MS" w:ascii="Arial Unicode MS" w:hAnsi="Arial Unicode MS"/>
                <w:sz w:val="22"/>
                <w:szCs w:val="22"/>
                <w:lang w:val="it-IT"/>
              </w:rPr>
              <w:t xml:space="preserve">❑ </w:t>
            </w:r>
            <w:r>
              <w:rPr>
                <w:rFonts w:eastAsia="Arial Unicode MS" w:cs="Arial Unicode MS" w:ascii="Arial Unicode MS" w:hAnsi="Arial Unicode MS"/>
                <w:sz w:val="22"/>
                <w:szCs w:val="22"/>
                <w:lang w:val="it-IT"/>
              </w:rPr>
              <w:t xml:space="preserve">Ambiente         </w:t>
            </w:r>
            <w:r>
              <w:rPr>
                <w:rFonts w:eastAsia="Wingdings" w:cs="Wingdings" w:ascii="Wingdings" w:hAnsi="Wingdings"/>
                <w:sz w:val="22"/>
                <w:szCs w:val="22"/>
                <w:lang w:val="it-IT"/>
              </w:rPr>
              <w:t></w:t>
            </w:r>
            <w:r>
              <w:rPr>
                <w:rFonts w:eastAsia="Arial Unicode MS" w:cs="Arial Unicode MS" w:ascii="Arial Unicode MS" w:hAnsi="Arial Unicode MS"/>
                <w:sz w:val="22"/>
                <w:szCs w:val="22"/>
                <w:lang w:val="it-IT"/>
              </w:rPr>
              <w:t xml:space="preserve"> Animazione            ❑ Assistenza   </w:t>
            </w:r>
          </w:p>
          <w:p>
            <w:pPr>
              <w:pStyle w:val="Normal"/>
              <w:rPr>
                <w:sz w:val="22"/>
                <w:szCs w:val="22"/>
                <w:lang w:val="it-IT"/>
              </w:rPr>
            </w:pPr>
            <w:r>
              <w:rPr>
                <w:rFonts w:eastAsia="Arial Unicode MS" w:cs="Arial Unicode MS" w:ascii="Arial Unicode MS" w:hAnsi="Arial Unicode MS"/>
                <w:sz w:val="22"/>
                <w:szCs w:val="22"/>
                <w:lang w:val="it-IT"/>
              </w:rPr>
              <w:t xml:space="preserve">❑ </w:t>
            </w:r>
            <w:r>
              <w:rPr>
                <w:rFonts w:eastAsia="Arial Unicode MS" w:cs="Arial Unicode MS" w:ascii="Arial Unicode MS" w:hAnsi="Arial Unicode MS"/>
                <w:sz w:val="22"/>
                <w:szCs w:val="22"/>
                <w:lang w:val="it-IT"/>
              </w:rPr>
              <w:t xml:space="preserve">Comunicazione e tecnologie         ❑ Cultura  </w:t>
            </w:r>
          </w:p>
          <w:p>
            <w:pPr>
              <w:pStyle w:val="Normal"/>
              <w:rPr>
                <w:color w:val="808080"/>
                <w:sz w:val="20"/>
                <w:szCs w:val="20"/>
                <w:lang w:val="it-IT"/>
              </w:rPr>
            </w:pPr>
            <w:r>
              <w:rPr>
                <w:rFonts w:eastAsia="Arial Unicode MS" w:cs="Arial Unicode MS" w:ascii="Arial Unicode MS" w:hAnsi="Arial Unicode MS"/>
                <w:sz w:val="22"/>
                <w:szCs w:val="22"/>
                <w:lang w:val="it-IT"/>
              </w:rPr>
              <w:t xml:space="preserve">❑ </w:t>
            </w:r>
            <w:r>
              <w:rPr>
                <w:rFonts w:eastAsia="Arial Unicode MS" w:cs="Arial Unicode MS" w:ascii="Arial Unicode MS" w:hAnsi="Arial Unicode MS"/>
                <w:sz w:val="22"/>
                <w:szCs w:val="22"/>
                <w:lang w:val="it-IT"/>
              </w:rPr>
              <w:t>Educazione e formazione       ❑ Scuola e università       ❑ Sport e turismo</w:t>
            </w:r>
          </w:p>
        </w:tc>
      </w:tr>
      <w:tr>
        <w:trPr>
          <w:trHeight w:val="411" w:hRule="atLeast"/>
        </w:trPr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6E6E6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Ripetizione</w:t>
            </w:r>
          </w:p>
        </w:tc>
        <w:tc>
          <w:tcPr>
            <w:tcW w:w="26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6E6E6" w:val="clear"/>
            <w:tcMar>
              <w:left w:w="70" w:type="dxa"/>
            </w:tcMar>
            <w:vAlign w:val="center"/>
          </w:tcPr>
          <w:p>
            <w:pPr>
              <w:pStyle w:val="Normal"/>
              <w:tabs>
                <w:tab w:val="left" w:pos="2193" w:leader="none"/>
              </w:tabs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Questo progetto è già stato realizzato in passato</w:t>
            </w:r>
          </w:p>
        </w:tc>
        <w:tc>
          <w:tcPr>
            <w:tcW w:w="45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6E6E6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2193" w:leader="none"/>
              </w:tabs>
              <w:rPr>
                <w:color w:val="A6A6A6"/>
                <w:sz w:val="20"/>
                <w:szCs w:val="20"/>
                <w:lang w:val="it-IT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  <w:lang w:val="it-IT"/>
              </w:rPr>
              <w:t>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sz w:val="20"/>
                <w:szCs w:val="20"/>
                <w:lang w:val="it-IT"/>
              </w:rPr>
              <w:t>Sì, con titolo: Co-costruire un’Accademia di comunità</w:t>
            </w:r>
          </w:p>
          <w:p>
            <w:pPr>
              <w:pStyle w:val="Normal"/>
              <w:tabs>
                <w:tab w:val="left" w:pos="2193" w:leader="none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</w:r>
          </w:p>
          <w:p>
            <w:pPr>
              <w:pStyle w:val="Normal"/>
              <w:tabs>
                <w:tab w:val="left" w:pos="2193" w:leader="none"/>
              </w:tabs>
              <w:rPr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2"/>
                <w:szCs w:val="22"/>
              </w:rPr>
              <w:t xml:space="preserve">❑ </w:t>
            </w:r>
            <w:r>
              <w:rPr>
                <w:b/>
                <w:sz w:val="22"/>
                <w:szCs w:val="22"/>
              </w:rPr>
              <w:t>No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color w:val="00000A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Soggetto </w:t>
              <w:br/>
              <w:t>proponente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Comune di Rovereto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 xml:space="preserve">Nome della persona </w:t>
              <w:br/>
              <w:t>da contattare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color w:val="8080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Fabio Franz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Telefono della persona da contattare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320 0384 381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Email della persona da contattare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color w:val="8080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fabiofranz@gmail.com</w:t>
            </w:r>
          </w:p>
        </w:tc>
      </w:tr>
      <w:tr>
        <w:trPr>
          <w:trHeight w:val="892" w:hRule="atLeast"/>
        </w:trPr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Orari di disponibilità della persona da contattare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color w:val="8080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Lun-Ven 9:00-15:00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Indirizzo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color w:val="8080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Via Pasqui 10, 38068 Rovereto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Durata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color w:val="8080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Numero di mesi 12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Posti</w:t>
            </w:r>
          </w:p>
        </w:tc>
        <w:tc>
          <w:tcPr>
            <w:tcW w:w="36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Numero minimo: 1</w:t>
            </w:r>
          </w:p>
        </w:tc>
        <w:tc>
          <w:tcPr>
            <w:tcW w:w="3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both"/>
              <w:rPr>
                <w:color w:val="8080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Numero massimo: 2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Sede/sedi di attuazione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both"/>
              <w:rPr>
                <w:color w:val="808080"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Via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Pasqui 10, 38068 Rovereto (da Maggio 2020, Piazzale Orsi 16, 38068 Rovereto)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Cosa si fa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Da ottobre 2017 una Rete aperta di associazioni e cittadini della Vallagarina sta collaborando con il Servizio Politiche Sociali del Comune di Rovereto per creare un’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 xml:space="preserve">Accademia di comunità 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in alcuni spazi in disuso della stazione dei treni di Rovereto. </w:t>
            </w:r>
          </w:p>
          <w:p>
            <w:pPr>
              <w:pStyle w:val="Normal"/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</w:r>
          </w:p>
          <w:p>
            <w:pPr>
              <w:pStyle w:val="Normal"/>
              <w:jc w:val="both"/>
              <w:rPr/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Insieme vogliamo creare uno spazio-progetto in un luogo chiave della città, dove ‘fare comunità’ dal basso e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sperimentare nuove forme di welfare di comunità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, a cavallo fra il culturale e il sociale.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La Foresta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– questo il nome dello spazio – sarà un luogo di aggregazione, produzione culturale e sperimentazione a 360 gradi aperto a tutti e gestito collettivamente in maniera orizzontale, dove chiunque potrà mettersi in gioco con le proprie capacità e passioni, acquisire nuove competenze ed intrecciare relazioni con altri soggetti impegnati localmente per </w:t>
            </w:r>
            <w:r>
              <w:rPr>
                <w:i/>
                <w:color w:val="000000"/>
                <w:sz w:val="20"/>
                <w:szCs w:val="20"/>
                <w:lang w:val="it-IT"/>
              </w:rPr>
              <w:t>buon vivere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e il bene comune in Vallagarina e oltre. Per conoscere le attività pilota svolte fino ad ora, visita: </w:t>
            </w:r>
            <w:hyperlink r:id="rId5">
              <w:r>
                <w:rPr>
                  <w:rStyle w:val="CollegamentoInternet"/>
                  <w:sz w:val="20"/>
                  <w:szCs w:val="20"/>
                  <w:lang w:val="it-IT"/>
                </w:rPr>
                <w:t>www.laforesta.net</w:t>
              </w:r>
            </w:hyperlink>
          </w:p>
          <w:p>
            <w:pPr>
              <w:pStyle w:val="Normal"/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</w:r>
          </w:p>
          <w:p>
            <w:pPr>
              <w:pStyle w:val="Normal"/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Da gennaio ad aprile 2020 il Comune di Rovereto fa ristrutturare 150 m</w:t>
            </w:r>
            <w:r>
              <w:rPr>
                <w:color w:val="000000"/>
                <w:sz w:val="20"/>
                <w:szCs w:val="20"/>
                <w:vertAlign w:val="superscript"/>
                <w:lang w:val="it-IT"/>
              </w:rPr>
              <w:t>2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di spazi nell’ala Nord della stazione dei treni, futura sede delLa Foresta, i quali saranno poi allestiti collettivamente.</w:t>
            </w:r>
          </w:p>
          <w:p>
            <w:pPr>
              <w:pStyle w:val="Normal"/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/>
              <w:drawing>
                <wp:inline distT="0" distB="0" distL="0" distR="0">
                  <wp:extent cx="4491355" cy="2245360"/>
                  <wp:effectExtent l="0" t="0" r="0" b="0"/>
                  <wp:docPr id="2" name="Picture 6" descr="../../../../../../../../../../Users/biancael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../../../../../../../../../../Users/biancael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1355" cy="224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</w:r>
          </w:p>
          <w:p>
            <w:pPr>
              <w:pStyle w:val="Normal"/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I/le giovani che decideranno di svolgere il servizio civile alLa Foresta seguiranno l’ambito dell’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organizzazione di attività di animazione di comunità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. Saranno pienamente coinvolti in questo avvincente progetto e processo, un’assoluta novità per il contesto regionale ma anche nazionale, in cui la Pubblica Amministrazione stringe alleanze abilitanti con la società civile per la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costruzione condivisa di un nuovo bene comune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rivolto all’intero territorio. </w:t>
            </w:r>
            <w:r>
              <w:rPr>
                <w:rFonts w:eastAsia="Trebuchet MS" w:cs="Trebuchet MS" w:ascii="Trebuchet MS" w:hAnsi="Trebuchet MS"/>
                <w:color w:val="000000"/>
                <w:sz w:val="22"/>
                <w:szCs w:val="22"/>
                <w:lang w:val="it-IT"/>
              </w:rPr>
              <w:t xml:space="preserve"> 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Cosa si impara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I/le giovani avranno la possibilità di acquisire competenze nell’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ambito del welfare di comunità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, specialmente per quanto riguarda metodi partecipativi innovativi e sperimentali, lo sviluppo di pratiche di cittadinanza responsabile, la comunicazione e la gestione collettiva di uno spazio aperto al pubblico che vuole essere un nuovo bene comune in città. Attraverso il progetto i/le giovani saranno introdotti/e alle logiche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e pratiche del welfare generativo</w:t>
            </w:r>
            <w:r>
              <w:rPr>
                <w:color w:val="000000"/>
                <w:sz w:val="20"/>
                <w:szCs w:val="20"/>
                <w:lang w:val="it-IT"/>
              </w:rPr>
              <w:t>, ovvero un modo di agire nel sociale che genera ulteriori risorse, sia a livello di reti sociali che a livello di potenziale economico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. </w:t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>Nello specifico avranno la possibilità di acquisire conoscenze attorno a: 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sviluppo e comunicazione di attività interculturali e intergenerazionali;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progettazione partecipata attraverso il fare in comune;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generazione di welfare di comunità;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innovazione sociale e ricerca-azione;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co-gestione di un bene comune;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lavoro di squadra e autonomo in un ambiente professionale dinamico; 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modalità di organizzazione orizzontali; 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coordinamento di una rete eterogenea di soggetti co-gestori;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gestione di un sito internet e altri strumenti online (calendario, prenotazione spazi ecc.);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facilitazione di attività di gruppo.</w:t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Inoltre i/le giovani lavoreranno a stretto contatto con una diversità di persone che detengono tutta una serie di capacità e conoscenze in ambiti molto diversi e che sono disposte a tramandare i loro saperi a chi ha voglia di imparare.</w:t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>Attraverso il progetto, i/le giovani avranno la possibilità di: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ampliare la propria conoscenza di realtà di cittadinanza attiva presenti in Vallagarina;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conoscere il contesto dei progetti innovativi dell’Ufficio Politiche Sociali del Comune di Rovereto;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creare una rete di contatti lavorativi a Rovereto e oltre;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acquisire competenze di conversazione in inglese con gli ospiti internazionali del progetto;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sviluppare un pool di conoscenze su come creare eventi culturali inclusivi a vari livelli (di abilità, economico, sociale, culturale, di età, ..).</w:t>
            </w:r>
          </w:p>
        </w:tc>
      </w:tr>
      <w:tr>
        <w:trPr>
          <w:trHeight w:val="151" w:hRule="atLeast"/>
        </w:trPr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Vitto  o  Vitto/alloggio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both"/>
              <w:rPr>
                <w:color w:val="80808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Vitto: servizio di ristorazione a carico del ODSC</w:t>
            </w:r>
            <w:r>
              <w:rPr>
                <w:color w:val="808080"/>
                <w:sz w:val="20"/>
                <w:szCs w:val="20"/>
                <w:lang w:val="it-IT"/>
              </w:rPr>
              <w:t xml:space="preserve"> </w:t>
            </w:r>
          </w:p>
        </w:tc>
      </w:tr>
      <w:tr>
        <w:trPr>
          <w:trHeight w:val="1257" w:hRule="atLeast"/>
        </w:trPr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Piano orario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L’orario prevede di norma lo svolgimento di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30 ore lavorative settimanali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distribuite su 4 giorni, nelle fasce orarie di riferimento dalle 9:30 alle 19:30. Le ore massime settimanali sono di 40 ore, da recuperare secondo modalità concordate con il/la giovane in servizio civile. La durata complessiva del progetto è di 1.440 ore annue.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Caratteristiche ricercate nei partecipanti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>Cerchiamo dei/delle giovani con le seguenti caratteristiche: </w:t>
            </w:r>
          </w:p>
          <w:p>
            <w:pPr>
              <w:pStyle w:val="Normal"/>
              <w:spacing w:lineRule="auto" w:line="276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• </w:t>
            </w:r>
            <w:r>
              <w:rPr>
                <w:color w:val="000000"/>
                <w:sz w:val="20"/>
                <w:szCs w:val="20"/>
                <w:lang w:val="it-IT"/>
              </w:rPr>
              <w:t>una forte motivazione alla crescita personale e all’apprendimento;</w:t>
            </w:r>
          </w:p>
          <w:p>
            <w:pPr>
              <w:pStyle w:val="Normal"/>
              <w:spacing w:lineRule="auto" w:line="276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• </w:t>
            </w:r>
            <w:r>
              <w:rPr>
                <w:color w:val="000000"/>
                <w:sz w:val="20"/>
                <w:szCs w:val="20"/>
                <w:lang w:val="it-IT"/>
              </w:rPr>
              <w:t>un amore per la creatività, il saper-fare, il voler ‘mettere le mani in pasta’;</w:t>
            </w:r>
          </w:p>
          <w:p>
            <w:pPr>
              <w:pStyle w:val="Normal"/>
              <w:spacing w:lineRule="auto" w:line="276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• </w:t>
            </w:r>
            <w:r>
              <w:rPr>
                <w:color w:val="000000"/>
                <w:sz w:val="20"/>
                <w:szCs w:val="20"/>
                <w:lang w:val="it-IT"/>
              </w:rPr>
              <w:t>un interesse per la creazione di comunità e per i metodi partecipativi;</w:t>
            </w:r>
          </w:p>
          <w:p>
            <w:pPr>
              <w:pStyle w:val="Normal"/>
              <w:spacing w:lineRule="auto" w:line="276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• </w:t>
            </w:r>
            <w:r>
              <w:rPr>
                <w:color w:val="000000"/>
                <w:sz w:val="20"/>
                <w:szCs w:val="20"/>
                <w:lang w:val="it-IT"/>
              </w:rPr>
              <w:t>una buona propensione alla relazione sociale;</w:t>
            </w:r>
          </w:p>
          <w:p>
            <w:pPr>
              <w:pStyle w:val="Normal"/>
              <w:spacing w:lineRule="auto" w:line="276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• </w:t>
            </w:r>
            <w:r>
              <w:rPr>
                <w:color w:val="000000"/>
                <w:sz w:val="20"/>
                <w:szCs w:val="20"/>
                <w:lang w:val="it-IT"/>
              </w:rPr>
              <w:t>voglia di mettere in gioco le proprie conoscenze;</w:t>
            </w:r>
          </w:p>
          <w:p>
            <w:pPr>
              <w:pStyle w:val="Normal"/>
              <w:spacing w:lineRule="auto" w:line="276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• </w:t>
            </w:r>
            <w:r>
              <w:rPr>
                <w:color w:val="000000"/>
                <w:sz w:val="20"/>
                <w:szCs w:val="20"/>
                <w:lang w:val="it-IT"/>
              </w:rPr>
              <w:t>voglia di partecipare a tutte le attività del progetto – sia a quelle più creative che a quelle più di routine;</w:t>
            </w:r>
          </w:p>
          <w:p>
            <w:pPr>
              <w:pStyle w:val="Normal"/>
              <w:spacing w:lineRule="auto" w:line="276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• </w:t>
            </w:r>
            <w:r>
              <w:rPr>
                <w:color w:val="000000"/>
                <w:sz w:val="20"/>
                <w:szCs w:val="20"/>
                <w:lang w:val="it-IT"/>
              </w:rPr>
              <w:t>disponibilità alla flessibilità nella gestione dell’orario;</w:t>
            </w:r>
          </w:p>
          <w:p>
            <w:pPr>
              <w:pStyle w:val="Normal"/>
              <w:spacing w:lineRule="auto" w:line="276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• </w:t>
            </w:r>
            <w:r>
              <w:rPr>
                <w:color w:val="000000"/>
                <w:sz w:val="20"/>
                <w:szCs w:val="20"/>
                <w:lang w:val="it-IT"/>
              </w:rPr>
              <w:t>capacità linguistiche (preferibilmente l’inglese);</w:t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• </w:t>
            </w:r>
            <w:r>
              <w:rPr>
                <w:color w:val="000000"/>
                <w:sz w:val="20"/>
                <w:szCs w:val="20"/>
                <w:lang w:val="it-IT"/>
              </w:rPr>
              <w:t>conoscenze informatiche o la volontà di acquisirle (programmi di grafica, social, ecc.)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Eventuali particolari obblighi previsti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/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Formazione specifica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La formazione specifica prevede lezioni frontali, laboratori pratici e seminari di minimo 4 ore al mese.</w:t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tratteranno i seguenti argomenti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Formazione sulla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sicurezza al lavoro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(7 ore)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Introduzione all’</w:t>
            </w:r>
            <w:r>
              <w:rPr>
                <w:b/>
                <w:color w:val="000000"/>
                <w:sz w:val="20"/>
                <w:szCs w:val="20"/>
              </w:rPr>
              <w:t>organigramma comunale</w:t>
            </w:r>
            <w:r>
              <w:rPr>
                <w:color w:val="000000"/>
                <w:sz w:val="20"/>
                <w:szCs w:val="20"/>
              </w:rPr>
              <w:t xml:space="preserve"> (2 ore)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Introduzione alle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politiche sociali adottate dal Comune di Rovereto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(2 ore)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Introduzione all’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approccio di welfare generativo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e di comunità e il relativo sistema di monitoraggio JUICE del Distretto di Economia Solidale (4 ore)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Introduzione ai metodi di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lavoro orizzontale della rete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(2 ore)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Introduzione a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sistemi di collaborazione online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(2 ore)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Introduzione alla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set up per eventi musicali e proiezioni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(4 ore)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Introduzione a metodi di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documentazione di eventi e processi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(6 ore)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Introduzione a nozioni di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pedagogia critica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(3 ore)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Introduzione a metodi di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co-design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(3 ore)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Introduzione a nozioni di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ricerca-azione partecipativa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(3 ore)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Introduzione a metodi di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facilitazione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di attività di gruppo (2 ore)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Formazione alla </w:t>
            </w:r>
            <w:r>
              <w:rPr>
                <w:b/>
                <w:color w:val="000000"/>
                <w:sz w:val="20"/>
                <w:szCs w:val="20"/>
                <w:lang w:val="it-IT"/>
              </w:rPr>
              <w:t>non-discriminazione e alla diversità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(6 ore)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Tecniche di fundraising</w:t>
            </w:r>
            <w:r>
              <w:rPr>
                <w:color w:val="000000"/>
                <w:sz w:val="20"/>
                <w:szCs w:val="20"/>
              </w:rPr>
              <w:t xml:space="preserve"> (3 ore)</w:t>
              <w:br/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Inoltre, la formazione sarà continua, poiché nel quotidiano i/le giovani avranno occasioni esperienziali per acquisire maggiori competenze relazionali, organizzative e comunicative attraverso la partecipazione alle attività della rete (osservando e mettendosi in gioco direttamente attraverso l’affiancamento di esperti).</w:t>
            </w:r>
          </w:p>
        </w:tc>
      </w:tr>
      <w:tr>
        <w:trPr/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  <w:lang w:val="it-IT"/>
              </w:rPr>
            </w:pPr>
            <w:bookmarkStart w:id="1" w:name="_gjdgxs"/>
            <w:bookmarkEnd w:id="1"/>
            <w:r>
              <w:rPr>
                <w:b/>
                <w:sz w:val="22"/>
                <w:szCs w:val="22"/>
                <w:lang w:val="it-IT"/>
              </w:rPr>
              <w:t>Dove inviare la domanda di candidatura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both"/>
              <w:rPr/>
            </w:pPr>
            <w:hyperlink r:id="rId7">
              <w:r>
                <w:rPr>
                  <w:rStyle w:val="ListLabel48"/>
                  <w:b/>
                  <w:color w:val="000000"/>
                  <w:sz w:val="20"/>
                  <w:szCs w:val="20"/>
                  <w:u w:val="single"/>
                  <w:lang w:val="it-IT"/>
                </w:rPr>
                <w:t>SimoncelliCatia@comune.rovereto.tn.it</w:t>
              </w:r>
            </w:hyperlink>
            <w:r>
              <w:rPr>
                <w:b/>
                <w:color w:val="000000"/>
                <w:sz w:val="20"/>
                <w:szCs w:val="20"/>
                <w:lang w:val="it-IT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Altre note</w:t>
            </w:r>
          </w:p>
        </w:tc>
        <w:tc>
          <w:tcPr>
            <w:tcW w:w="7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hd w:val="clear" w:color="auto" w:fill="FFFFFF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134" w:right="1134" w:header="709" w:top="766" w:footer="709" w:bottom="1134" w:gutter="0"/>
      <w:pgNumType w:start="1"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Trebuchet MS">
    <w:charset w:val="00"/>
    <w:family w:val="roman"/>
    <w:pitch w:val="variable"/>
  </w:font>
  <w:font w:name="Helvetica Neu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shd w:val="clear" w:color="auto" w:fill="FFFFFF"/>
      <w:tabs>
        <w:tab w:val="right" w:pos="9020" w:leader="none"/>
      </w:tabs>
      <w:rPr>
        <w:rFonts w:ascii="Helvetica Neue" w:hAnsi="Helvetica Neue" w:eastAsia="Helvetica Neue" w:cs="Helvetica Neue"/>
        <w:color w:val="000000"/>
      </w:rPr>
    </w:pPr>
    <w:r>
      <w:rPr>
        <w:rFonts w:eastAsia="Helvetica Neue" w:cs="Helvetica Neue" w:ascii="Helvetica Neue" w:hAnsi="Helvetica Neue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shd w:val="clear" w:color="auto" w:fill="FFFFFF"/>
      <w:tabs>
        <w:tab w:val="right" w:pos="9020" w:leader="none"/>
      </w:tabs>
      <w:rPr>
        <w:rFonts w:ascii="Helvetica Neue" w:hAnsi="Helvetica Neue" w:eastAsia="Helvetica Neue" w:cs="Helvetica Neue"/>
        <w:color w:val="000000"/>
      </w:rPr>
    </w:pPr>
    <w:r>
      <w:rPr>
        <w:rFonts w:eastAsia="Helvetica Neue" w:cs="Helvetica Neue" w:ascii="Helvetica Neue" w:hAnsi="Helvetica Neue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szCs w:val="20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szCs w:val="20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  <w:position w:val="0"/>
        <w:sz w:val="2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  <w:position w:val="0"/>
        <w:sz w:val="24"/>
        <w:sz w:val="24"/>
      </w:rPr>
    </w:lvl>
  </w:abstractNum>
  <w:abstractNum w:abstractNumId="4">
    <w:lvl w:ilvl="0">
      <w:start w:val="1"/>
      <w:numFmt w:val="bullet"/>
      <w:lvlText w:val="–"/>
      <w:lvlJc w:val="left"/>
      <w:pPr>
        <w:ind w:left="927" w:hanging="360"/>
      </w:pPr>
      <w:rPr>
        <w:rFonts w:ascii="Arial" w:hAnsi="Arial" w:cs="Arial" w:hint="default"/>
        <w:vertAlign w:val="baseline"/>
        <w:position w:val="0"/>
        <w:sz w:val="24"/>
        <w:sz w:val="24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rFonts w:cs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szCs w:val="20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rFonts w:cs="Noto Sans Symbol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0031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e60031"/>
    <w:rPr>
      <w:color w:val="0563C1" w:themeColor="hyperlink"/>
      <w:u w:val="single"/>
    </w:rPr>
  </w:style>
  <w:style w:type="character" w:styleId="ListLabel1">
    <w:name w:val="ListLabel 1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2">
    <w:name w:val="ListLabel 2"/>
    <w:qFormat/>
    <w:rPr>
      <w:rFonts w:eastAsia="Courier New" w:cs="Courier New"/>
      <w:position w:val="0"/>
      <w:sz w:val="20"/>
      <w:sz w:val="20"/>
      <w:szCs w:val="20"/>
      <w:vertAlign w:val="baseline"/>
    </w:rPr>
  </w:style>
  <w:style w:type="character" w:styleId="ListLabel3">
    <w:name w:val="ListLabel 3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4">
    <w:name w:val="ListLabel 4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5">
    <w:name w:val="ListLabel 5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6">
    <w:name w:val="ListLabel 6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7">
    <w:name w:val="ListLabel 7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8">
    <w:name w:val="ListLabel 8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9">
    <w:name w:val="ListLabel 9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10">
    <w:name w:val="ListLabel 10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11">
    <w:name w:val="ListLabel 11"/>
    <w:qFormat/>
    <w:rPr>
      <w:rFonts w:eastAsia="Courier New" w:cs="Courier New"/>
      <w:position w:val="0"/>
      <w:sz w:val="20"/>
      <w:sz w:val="20"/>
      <w:szCs w:val="20"/>
      <w:vertAlign w:val="baseline"/>
    </w:rPr>
  </w:style>
  <w:style w:type="character" w:styleId="ListLabel12">
    <w:name w:val="ListLabel 12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13">
    <w:name w:val="ListLabel 13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14">
    <w:name w:val="ListLabel 14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15">
    <w:name w:val="ListLabel 15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16">
    <w:name w:val="ListLabel 16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17">
    <w:name w:val="ListLabel 17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18">
    <w:name w:val="ListLabel 18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19">
    <w:name w:val="ListLabel 19"/>
    <w:qFormat/>
    <w:rPr>
      <w:position w:val="0"/>
      <w:sz w:val="20"/>
      <w:sz w:val="20"/>
      <w:vertAlign w:val="baseline"/>
    </w:rPr>
  </w:style>
  <w:style w:type="character" w:styleId="ListLabel20">
    <w:name w:val="ListLabel 20"/>
    <w:qFormat/>
    <w:rPr>
      <w:position w:val="0"/>
      <w:sz w:val="24"/>
      <w:sz w:val="24"/>
      <w:vertAlign w:val="baseline"/>
    </w:rPr>
  </w:style>
  <w:style w:type="character" w:styleId="ListLabel21">
    <w:name w:val="ListLabel 21"/>
    <w:qFormat/>
    <w:rPr>
      <w:position w:val="0"/>
      <w:sz w:val="24"/>
      <w:sz w:val="24"/>
      <w:vertAlign w:val="baseline"/>
    </w:rPr>
  </w:style>
  <w:style w:type="character" w:styleId="ListLabel22">
    <w:name w:val="ListLabel 22"/>
    <w:qFormat/>
    <w:rPr>
      <w:position w:val="0"/>
      <w:sz w:val="24"/>
      <w:sz w:val="24"/>
      <w:vertAlign w:val="baseline"/>
    </w:rPr>
  </w:style>
  <w:style w:type="character" w:styleId="ListLabel23">
    <w:name w:val="ListLabel 23"/>
    <w:qFormat/>
    <w:rPr>
      <w:position w:val="0"/>
      <w:sz w:val="24"/>
      <w:sz w:val="24"/>
      <w:vertAlign w:val="baseline"/>
    </w:rPr>
  </w:style>
  <w:style w:type="character" w:styleId="ListLabel24">
    <w:name w:val="ListLabel 24"/>
    <w:qFormat/>
    <w:rPr>
      <w:position w:val="0"/>
      <w:sz w:val="24"/>
      <w:sz w:val="24"/>
      <w:vertAlign w:val="baseline"/>
    </w:rPr>
  </w:style>
  <w:style w:type="character" w:styleId="ListLabel25">
    <w:name w:val="ListLabel 25"/>
    <w:qFormat/>
    <w:rPr>
      <w:position w:val="0"/>
      <w:sz w:val="24"/>
      <w:sz w:val="24"/>
      <w:vertAlign w:val="baseline"/>
    </w:rPr>
  </w:style>
  <w:style w:type="character" w:styleId="ListLabel26">
    <w:name w:val="ListLabel 26"/>
    <w:qFormat/>
    <w:rPr>
      <w:position w:val="0"/>
      <w:sz w:val="24"/>
      <w:sz w:val="24"/>
      <w:vertAlign w:val="baseline"/>
    </w:rPr>
  </w:style>
  <w:style w:type="character" w:styleId="ListLabel27">
    <w:name w:val="ListLabel 27"/>
    <w:qFormat/>
    <w:rPr>
      <w:position w:val="0"/>
      <w:sz w:val="24"/>
      <w:sz w:val="24"/>
      <w:vertAlign w:val="baseline"/>
    </w:rPr>
  </w:style>
  <w:style w:type="character" w:styleId="ListLabel28">
    <w:name w:val="ListLabel 28"/>
    <w:qFormat/>
    <w:rPr>
      <w:rFonts w:eastAsia="Arial" w:cs="Arial"/>
      <w:position w:val="0"/>
      <w:sz w:val="24"/>
      <w:sz w:val="24"/>
      <w:vertAlign w:val="baseline"/>
    </w:rPr>
  </w:style>
  <w:style w:type="character" w:styleId="ListLabel29">
    <w:name w:val="ListLabel 29"/>
    <w:qFormat/>
    <w:rPr>
      <w:rFonts w:eastAsia="Courier New" w:cs="Courier New"/>
      <w:position w:val="0"/>
      <w:sz w:val="24"/>
      <w:sz w:val="24"/>
      <w:vertAlign w:val="baseline"/>
    </w:rPr>
  </w:style>
  <w:style w:type="character" w:styleId="ListLabel30">
    <w:name w:val="ListLabel 30"/>
    <w:qFormat/>
    <w:rPr>
      <w:rFonts w:eastAsia="Noto Sans Symbols" w:cs="Noto Sans Symbols"/>
      <w:position w:val="0"/>
      <w:sz w:val="24"/>
      <w:sz w:val="24"/>
      <w:vertAlign w:val="baseline"/>
    </w:rPr>
  </w:style>
  <w:style w:type="character" w:styleId="ListLabel31">
    <w:name w:val="ListLabel 31"/>
    <w:qFormat/>
    <w:rPr>
      <w:rFonts w:eastAsia="Noto Sans Symbols" w:cs="Noto Sans Symbols"/>
      <w:position w:val="0"/>
      <w:sz w:val="24"/>
      <w:sz w:val="24"/>
      <w:vertAlign w:val="baseline"/>
    </w:rPr>
  </w:style>
  <w:style w:type="character" w:styleId="ListLabel32">
    <w:name w:val="ListLabel 32"/>
    <w:qFormat/>
    <w:rPr>
      <w:rFonts w:eastAsia="Courier New" w:cs="Courier New"/>
      <w:position w:val="0"/>
      <w:sz w:val="24"/>
      <w:sz w:val="24"/>
      <w:vertAlign w:val="baseline"/>
    </w:rPr>
  </w:style>
  <w:style w:type="character" w:styleId="ListLabel33">
    <w:name w:val="ListLabel 33"/>
    <w:qFormat/>
    <w:rPr>
      <w:rFonts w:eastAsia="Noto Sans Symbols" w:cs="Noto Sans Symbols"/>
      <w:position w:val="0"/>
      <w:sz w:val="24"/>
      <w:sz w:val="24"/>
      <w:vertAlign w:val="baseline"/>
    </w:rPr>
  </w:style>
  <w:style w:type="character" w:styleId="ListLabel34">
    <w:name w:val="ListLabel 34"/>
    <w:qFormat/>
    <w:rPr>
      <w:rFonts w:eastAsia="Noto Sans Symbols" w:cs="Noto Sans Symbols"/>
      <w:position w:val="0"/>
      <w:sz w:val="24"/>
      <w:sz w:val="24"/>
      <w:vertAlign w:val="baseline"/>
    </w:rPr>
  </w:style>
  <w:style w:type="character" w:styleId="ListLabel35">
    <w:name w:val="ListLabel 35"/>
    <w:qFormat/>
    <w:rPr>
      <w:rFonts w:eastAsia="Courier New" w:cs="Courier New"/>
      <w:position w:val="0"/>
      <w:sz w:val="24"/>
      <w:sz w:val="24"/>
      <w:vertAlign w:val="baseline"/>
    </w:rPr>
  </w:style>
  <w:style w:type="character" w:styleId="ListLabel36">
    <w:name w:val="ListLabel 36"/>
    <w:qFormat/>
    <w:rPr>
      <w:rFonts w:eastAsia="Noto Sans Symbols" w:cs="Noto Sans Symbols"/>
      <w:position w:val="0"/>
      <w:sz w:val="24"/>
      <w:sz w:val="24"/>
      <w:vertAlign w:val="baseline"/>
    </w:rPr>
  </w:style>
  <w:style w:type="character" w:styleId="ListLabel37">
    <w:name w:val="ListLabel 37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38">
    <w:name w:val="ListLabel 38"/>
    <w:qFormat/>
    <w:rPr>
      <w:rFonts w:eastAsia="Courier New" w:cs="Courier New"/>
      <w:position w:val="0"/>
      <w:sz w:val="20"/>
      <w:sz w:val="20"/>
      <w:szCs w:val="20"/>
      <w:vertAlign w:val="baseline"/>
    </w:rPr>
  </w:style>
  <w:style w:type="character" w:styleId="ListLabel39">
    <w:name w:val="ListLabel 39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40">
    <w:name w:val="ListLabel 40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41">
    <w:name w:val="ListLabel 41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42">
    <w:name w:val="ListLabel 42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43">
    <w:name w:val="ListLabel 43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44">
    <w:name w:val="ListLabel 44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45">
    <w:name w:val="ListLabel 45"/>
    <w:qFormat/>
    <w:rPr>
      <w:rFonts w:eastAsia="Noto Sans Symbols" w:cs="Noto Sans Symbols"/>
      <w:position w:val="0"/>
      <w:sz w:val="20"/>
      <w:sz w:val="20"/>
      <w:szCs w:val="20"/>
      <w:vertAlign w:val="baseline"/>
    </w:rPr>
  </w:style>
  <w:style w:type="character" w:styleId="ListLabel46">
    <w:name w:val="ListLabel 46"/>
    <w:qFormat/>
    <w:rPr>
      <w:b/>
      <w:color w:val="000000"/>
      <w:sz w:val="20"/>
      <w:szCs w:val="20"/>
      <w:u w:val="single"/>
    </w:rPr>
  </w:style>
  <w:style w:type="character" w:styleId="ListLabel47">
    <w:name w:val="ListLabel 47"/>
    <w:qFormat/>
    <w:rPr>
      <w:sz w:val="20"/>
      <w:szCs w:val="20"/>
      <w:lang w:val="it-IT"/>
    </w:rPr>
  </w:style>
  <w:style w:type="character" w:styleId="ListLabel48">
    <w:name w:val="ListLabel 48"/>
    <w:qFormat/>
    <w:rPr>
      <w:b/>
      <w:color w:val="000000"/>
      <w:sz w:val="20"/>
      <w:szCs w:val="20"/>
      <w:u w:val="single"/>
      <w:lang w:val="it-IT"/>
    </w:rPr>
  </w:style>
  <w:style w:type="character" w:styleId="ListLabel49">
    <w:name w:val="ListLabel 49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50">
    <w:name w:val="ListLabel 50"/>
    <w:qFormat/>
    <w:rPr>
      <w:rFonts w:cs="Courier New"/>
      <w:position w:val="0"/>
      <w:sz w:val="20"/>
      <w:sz w:val="20"/>
      <w:szCs w:val="20"/>
      <w:vertAlign w:val="baseline"/>
    </w:rPr>
  </w:style>
  <w:style w:type="character" w:styleId="ListLabel51">
    <w:name w:val="ListLabel 51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52">
    <w:name w:val="ListLabel 52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53">
    <w:name w:val="ListLabel 53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54">
    <w:name w:val="ListLabel 54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55">
    <w:name w:val="ListLabel 55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56">
    <w:name w:val="ListLabel 56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57">
    <w:name w:val="ListLabel 57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58">
    <w:name w:val="ListLabel 58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59">
    <w:name w:val="ListLabel 59"/>
    <w:qFormat/>
    <w:rPr>
      <w:rFonts w:cs="Courier New"/>
      <w:position w:val="0"/>
      <w:sz w:val="20"/>
      <w:sz w:val="20"/>
      <w:szCs w:val="20"/>
      <w:vertAlign w:val="baseline"/>
    </w:rPr>
  </w:style>
  <w:style w:type="character" w:styleId="ListLabel60">
    <w:name w:val="ListLabel 60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61">
    <w:name w:val="ListLabel 61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62">
    <w:name w:val="ListLabel 62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63">
    <w:name w:val="ListLabel 63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64">
    <w:name w:val="ListLabel 64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65">
    <w:name w:val="ListLabel 65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66">
    <w:name w:val="ListLabel 66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67">
    <w:name w:val="ListLabel 67"/>
    <w:qFormat/>
    <w:rPr>
      <w:position w:val="0"/>
      <w:sz w:val="20"/>
      <w:sz w:val="20"/>
      <w:vertAlign w:val="baseline"/>
    </w:rPr>
  </w:style>
  <w:style w:type="character" w:styleId="ListLabel68">
    <w:name w:val="ListLabel 68"/>
    <w:qFormat/>
    <w:rPr>
      <w:position w:val="0"/>
      <w:sz w:val="24"/>
      <w:sz w:val="24"/>
      <w:vertAlign w:val="baseline"/>
    </w:rPr>
  </w:style>
  <w:style w:type="character" w:styleId="ListLabel69">
    <w:name w:val="ListLabel 69"/>
    <w:qFormat/>
    <w:rPr>
      <w:position w:val="0"/>
      <w:sz w:val="24"/>
      <w:sz w:val="24"/>
      <w:vertAlign w:val="baseline"/>
    </w:rPr>
  </w:style>
  <w:style w:type="character" w:styleId="ListLabel70">
    <w:name w:val="ListLabel 70"/>
    <w:qFormat/>
    <w:rPr>
      <w:position w:val="0"/>
      <w:sz w:val="24"/>
      <w:sz w:val="24"/>
      <w:vertAlign w:val="baseline"/>
    </w:rPr>
  </w:style>
  <w:style w:type="character" w:styleId="ListLabel71">
    <w:name w:val="ListLabel 71"/>
    <w:qFormat/>
    <w:rPr>
      <w:position w:val="0"/>
      <w:sz w:val="24"/>
      <w:sz w:val="24"/>
      <w:vertAlign w:val="baseline"/>
    </w:rPr>
  </w:style>
  <w:style w:type="character" w:styleId="ListLabel72">
    <w:name w:val="ListLabel 72"/>
    <w:qFormat/>
    <w:rPr>
      <w:position w:val="0"/>
      <w:sz w:val="24"/>
      <w:sz w:val="24"/>
      <w:vertAlign w:val="baseline"/>
    </w:rPr>
  </w:style>
  <w:style w:type="character" w:styleId="ListLabel73">
    <w:name w:val="ListLabel 73"/>
    <w:qFormat/>
    <w:rPr>
      <w:position w:val="0"/>
      <w:sz w:val="24"/>
      <w:sz w:val="24"/>
      <w:vertAlign w:val="baseline"/>
    </w:rPr>
  </w:style>
  <w:style w:type="character" w:styleId="ListLabel74">
    <w:name w:val="ListLabel 74"/>
    <w:qFormat/>
    <w:rPr>
      <w:position w:val="0"/>
      <w:sz w:val="24"/>
      <w:sz w:val="24"/>
      <w:vertAlign w:val="baseline"/>
    </w:rPr>
  </w:style>
  <w:style w:type="character" w:styleId="ListLabel75">
    <w:name w:val="ListLabel 75"/>
    <w:qFormat/>
    <w:rPr>
      <w:position w:val="0"/>
      <w:sz w:val="24"/>
      <w:sz w:val="24"/>
      <w:vertAlign w:val="baseline"/>
    </w:rPr>
  </w:style>
  <w:style w:type="character" w:styleId="ListLabel76">
    <w:name w:val="ListLabel 76"/>
    <w:qFormat/>
    <w:rPr>
      <w:rFonts w:cs="Arial"/>
      <w:position w:val="0"/>
      <w:sz w:val="24"/>
      <w:sz w:val="24"/>
      <w:vertAlign w:val="baseline"/>
    </w:rPr>
  </w:style>
  <w:style w:type="character" w:styleId="ListLabel77">
    <w:name w:val="ListLabel 77"/>
    <w:qFormat/>
    <w:rPr>
      <w:rFonts w:cs="Courier New"/>
      <w:position w:val="0"/>
      <w:sz w:val="24"/>
      <w:sz w:val="24"/>
      <w:vertAlign w:val="baseline"/>
    </w:rPr>
  </w:style>
  <w:style w:type="character" w:styleId="ListLabel78">
    <w:name w:val="ListLabel 78"/>
    <w:qFormat/>
    <w:rPr>
      <w:rFonts w:cs="Noto Sans Symbols"/>
      <w:position w:val="0"/>
      <w:sz w:val="24"/>
      <w:sz w:val="24"/>
      <w:vertAlign w:val="baseline"/>
    </w:rPr>
  </w:style>
  <w:style w:type="character" w:styleId="ListLabel79">
    <w:name w:val="ListLabel 79"/>
    <w:qFormat/>
    <w:rPr>
      <w:rFonts w:cs="Noto Sans Symbols"/>
      <w:position w:val="0"/>
      <w:sz w:val="24"/>
      <w:sz w:val="24"/>
      <w:vertAlign w:val="baseline"/>
    </w:rPr>
  </w:style>
  <w:style w:type="character" w:styleId="ListLabel80">
    <w:name w:val="ListLabel 80"/>
    <w:qFormat/>
    <w:rPr>
      <w:rFonts w:cs="Courier New"/>
      <w:position w:val="0"/>
      <w:sz w:val="24"/>
      <w:sz w:val="24"/>
      <w:vertAlign w:val="baseline"/>
    </w:rPr>
  </w:style>
  <w:style w:type="character" w:styleId="ListLabel81">
    <w:name w:val="ListLabel 81"/>
    <w:qFormat/>
    <w:rPr>
      <w:rFonts w:cs="Noto Sans Symbols"/>
      <w:position w:val="0"/>
      <w:sz w:val="24"/>
      <w:sz w:val="24"/>
      <w:vertAlign w:val="baseline"/>
    </w:rPr>
  </w:style>
  <w:style w:type="character" w:styleId="ListLabel82">
    <w:name w:val="ListLabel 82"/>
    <w:qFormat/>
    <w:rPr>
      <w:rFonts w:cs="Noto Sans Symbols"/>
      <w:position w:val="0"/>
      <w:sz w:val="24"/>
      <w:sz w:val="24"/>
      <w:vertAlign w:val="baseline"/>
    </w:rPr>
  </w:style>
  <w:style w:type="character" w:styleId="ListLabel83">
    <w:name w:val="ListLabel 83"/>
    <w:qFormat/>
    <w:rPr>
      <w:rFonts w:cs="Courier New"/>
      <w:position w:val="0"/>
      <w:sz w:val="24"/>
      <w:sz w:val="24"/>
      <w:vertAlign w:val="baseline"/>
    </w:rPr>
  </w:style>
  <w:style w:type="character" w:styleId="ListLabel84">
    <w:name w:val="ListLabel 84"/>
    <w:qFormat/>
    <w:rPr>
      <w:rFonts w:cs="Noto Sans Symbols"/>
      <w:position w:val="0"/>
      <w:sz w:val="24"/>
      <w:sz w:val="24"/>
      <w:vertAlign w:val="baseline"/>
    </w:rPr>
  </w:style>
  <w:style w:type="character" w:styleId="ListLabel85">
    <w:name w:val="ListLabel 85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86">
    <w:name w:val="ListLabel 86"/>
    <w:qFormat/>
    <w:rPr>
      <w:rFonts w:cs="Courier New"/>
      <w:position w:val="0"/>
      <w:sz w:val="20"/>
      <w:sz w:val="20"/>
      <w:szCs w:val="20"/>
      <w:vertAlign w:val="baseline"/>
    </w:rPr>
  </w:style>
  <w:style w:type="character" w:styleId="ListLabel87">
    <w:name w:val="ListLabel 87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88">
    <w:name w:val="ListLabel 88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89">
    <w:name w:val="ListLabel 89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90">
    <w:name w:val="ListLabel 90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91">
    <w:name w:val="ListLabel 91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92">
    <w:name w:val="ListLabel 92"/>
    <w:qFormat/>
    <w:rPr>
      <w:rFonts w:cs="Noto Sans Symbols"/>
      <w:position w:val="0"/>
      <w:sz w:val="20"/>
      <w:sz w:val="20"/>
      <w:szCs w:val="20"/>
      <w:vertAlign w:val="baseline"/>
    </w:rPr>
  </w:style>
  <w:style w:type="character" w:styleId="ListLabel93">
    <w:name w:val="ListLabel 93"/>
    <w:qFormat/>
    <w:rPr>
      <w:rFonts w:cs="Noto Sans Symbols"/>
      <w:position w:val="0"/>
      <w:sz w:val="20"/>
      <w:sz w:val="20"/>
      <w:szCs w:val="20"/>
      <w:vertAlign w:val="baseline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ancaelzenbaumer@gmail.com" TargetMode="External"/><Relationship Id="rId3" Type="http://schemas.openxmlformats.org/officeDocument/2006/relationships/hyperlink" Target="mailto:SimoncelliCatia@comune.rovereto.tn.it" TargetMode="External"/><Relationship Id="rId4" Type="http://schemas.openxmlformats.org/officeDocument/2006/relationships/image" Target="media/image1.jpeg"/><Relationship Id="rId5" Type="http://schemas.openxmlformats.org/officeDocument/2006/relationships/hyperlink" Target="http://www.laforesta.net/" TargetMode="External"/><Relationship Id="rId6" Type="http://schemas.openxmlformats.org/officeDocument/2006/relationships/image" Target="media/image2.jpeg"/><Relationship Id="rId7" Type="http://schemas.openxmlformats.org/officeDocument/2006/relationships/hyperlink" Target="mailto:SimoncelliCatia@comune.rovereto.tn.i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LibreOffice/5.1.6.2$Windows_x86 LibreOffice_project/07ac168c60a517dba0f0d7bc7540f5afa45f0909</Application>
  <Pages>4</Pages>
  <Words>1299</Words>
  <CharactersWithSpaces>7484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2020-02-27T10:53:00Z</dcterms:created>
  <dc:creator>BE</dc:creator>
  <dc:description/>
  <dc:language>it-IT</dc:language>
  <cp:lastModifiedBy>BE</cp:lastModifiedBy>
  <dcterms:modified xsi:type="dcterms:W3CDTF">2020-02-27T10:54:00Z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